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Ronneby kommunfullmäktige</w:t>
      </w:r>
    </w:p>
    <w:p>
      <w:pPr>
        <w:pStyle w:val="Heading1"/>
      </w:pPr>
      <w:r>
        <w:t xml:space="preserve">Bygga ut säkra cykelvägar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Ronneby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12 procent av resorna i Ronneby sker med cykel (Trafikverket 2023). Brist på separata cykelbanor längs riksväg 27 och till Brunnsparken minskar trafiksäkerhet och klimatarbete.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Ronneby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byggnation av separerad cykelbana längs väg 27 mellan Ronneby och Kallinge 2027–2029.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utöka turtätheten i kollektivtrafiken till Brunn och industriområdena med 20 procent från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installera fler cykelparkeringar med tak vid skolor och tågstationen.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ta fram en cykelplan med mål om 25 procent cykelandel till 2030.</w:t>
      </w:r>
    </w:p>
    <w:p>
      <w:pPr>
        <w:spacing w:before="360"/>
      </w:pPr>
    </w:p>
    <w:p>
      <w:r>
        <w:t xml:space="preserve">Ronneby,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Ronneby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2026-07-14T04:55:51.330Z</dcterms:created>
  <dcterms:modified xsi:type="dcterms:W3CDTF">2026-07-14T04:55:51.330Z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